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CE2" w:rsidRPr="00DC5921" w:rsidRDefault="00DC5CE2" w:rsidP="00DC5CE2">
      <w:pPr>
        <w:pBdr>
          <w:top w:val="single" w:sz="4" w:space="1" w:color="auto"/>
          <w:left w:val="single" w:sz="4" w:space="4" w:color="auto"/>
          <w:bottom w:val="single" w:sz="4" w:space="1" w:color="auto"/>
          <w:right w:val="single" w:sz="4" w:space="4" w:color="auto"/>
        </w:pBdr>
        <w:jc w:val="center"/>
        <w:rPr>
          <w:rFonts w:asciiTheme="majorHAnsi" w:hAnsiTheme="majorHAnsi"/>
          <w:b/>
        </w:rPr>
      </w:pPr>
      <w:bookmarkStart w:id="0" w:name="_GoBack"/>
      <w:bookmarkEnd w:id="0"/>
      <w:proofErr w:type="spellStart"/>
      <w:r w:rsidRPr="00DC5921">
        <w:rPr>
          <w:rFonts w:asciiTheme="majorHAnsi" w:hAnsiTheme="majorHAnsi"/>
          <w:b/>
        </w:rPr>
        <w:t>Bilan</w:t>
      </w:r>
      <w:proofErr w:type="spellEnd"/>
      <w:r w:rsidRPr="00DC5921">
        <w:rPr>
          <w:rFonts w:asciiTheme="majorHAnsi" w:hAnsiTheme="majorHAnsi"/>
          <w:b/>
        </w:rPr>
        <w:t xml:space="preserve"> </w:t>
      </w:r>
      <w:proofErr w:type="spellStart"/>
      <w:r w:rsidRPr="00DC5921">
        <w:rPr>
          <w:rFonts w:asciiTheme="majorHAnsi" w:hAnsiTheme="majorHAnsi"/>
          <w:b/>
        </w:rPr>
        <w:t>scientifique</w:t>
      </w:r>
      <w:proofErr w:type="spellEnd"/>
      <w:r w:rsidRPr="00DC5921">
        <w:rPr>
          <w:rFonts w:asciiTheme="majorHAnsi" w:hAnsiTheme="majorHAnsi"/>
          <w:b/>
        </w:rPr>
        <w:t xml:space="preserve"> du </w:t>
      </w:r>
      <w:proofErr w:type="spellStart"/>
      <w:r w:rsidRPr="00DC5921">
        <w:rPr>
          <w:rFonts w:asciiTheme="majorHAnsi" w:hAnsiTheme="majorHAnsi"/>
          <w:b/>
        </w:rPr>
        <w:t>projet</w:t>
      </w:r>
      <w:proofErr w:type="spellEnd"/>
      <w:r w:rsidRPr="00DC5921">
        <w:rPr>
          <w:rFonts w:asciiTheme="majorHAnsi" w:hAnsiTheme="majorHAnsi"/>
          <w:b/>
        </w:rPr>
        <w:t xml:space="preserve"> </w:t>
      </w:r>
      <w:r w:rsidR="00181626">
        <w:rPr>
          <w:rFonts w:asciiTheme="majorHAnsi" w:hAnsiTheme="majorHAnsi"/>
          <w:b/>
        </w:rPr>
        <w:t>de formation-</w:t>
      </w:r>
      <w:proofErr w:type="spellStart"/>
      <w:r w:rsidR="00181626">
        <w:rPr>
          <w:rFonts w:asciiTheme="majorHAnsi" w:hAnsiTheme="majorHAnsi"/>
          <w:b/>
        </w:rPr>
        <w:t>recherche</w:t>
      </w:r>
      <w:proofErr w:type="spellEnd"/>
    </w:p>
    <w:p w:rsidR="00DC5CE2" w:rsidRPr="00D03CD9" w:rsidRDefault="00DC5CE2" w:rsidP="00DC5CE2">
      <w:pPr>
        <w:pBdr>
          <w:top w:val="single" w:sz="4" w:space="1" w:color="auto"/>
          <w:left w:val="single" w:sz="4" w:space="4" w:color="auto"/>
          <w:bottom w:val="single" w:sz="4" w:space="1" w:color="auto"/>
          <w:right w:val="single" w:sz="4" w:space="4" w:color="auto"/>
        </w:pBdr>
        <w:jc w:val="center"/>
        <w:rPr>
          <w:rFonts w:asciiTheme="majorHAnsi" w:hAnsiTheme="majorHAnsi"/>
          <w:b/>
          <w:lang w:val="fr-FR"/>
        </w:rPr>
      </w:pPr>
      <w:r w:rsidRPr="00D03CD9">
        <w:rPr>
          <w:rFonts w:asciiTheme="majorHAnsi" w:hAnsiTheme="majorHAnsi"/>
          <w:i/>
          <w:lang w:val="fr-FR"/>
        </w:rPr>
        <w:t>Matières à penser. Les mises en scène des sciences et leurs enjeux (19</w:t>
      </w:r>
      <w:r w:rsidRPr="00D03CD9">
        <w:rPr>
          <w:rFonts w:asciiTheme="majorHAnsi" w:hAnsiTheme="majorHAnsi"/>
          <w:i/>
          <w:vertAlign w:val="superscript"/>
          <w:lang w:val="fr-FR"/>
        </w:rPr>
        <w:t>e</w:t>
      </w:r>
      <w:r w:rsidRPr="00D03CD9">
        <w:rPr>
          <w:rFonts w:asciiTheme="majorHAnsi" w:hAnsiTheme="majorHAnsi"/>
          <w:i/>
          <w:lang w:val="fr-FR"/>
        </w:rPr>
        <w:t xml:space="preserve"> – 21</w:t>
      </w:r>
      <w:r w:rsidRPr="00D03CD9">
        <w:rPr>
          <w:rFonts w:asciiTheme="majorHAnsi" w:hAnsiTheme="majorHAnsi"/>
          <w:i/>
          <w:vertAlign w:val="superscript"/>
          <w:lang w:val="fr-FR"/>
        </w:rPr>
        <w:t>e</w:t>
      </w:r>
      <w:r w:rsidRPr="00D03CD9">
        <w:rPr>
          <w:rFonts w:asciiTheme="majorHAnsi" w:hAnsiTheme="majorHAnsi"/>
          <w:i/>
          <w:lang w:val="fr-FR"/>
        </w:rPr>
        <w:t xml:space="preserve"> siècles)</w:t>
      </w:r>
    </w:p>
    <w:p w:rsidR="00DC5CE2" w:rsidRPr="00D03CD9" w:rsidRDefault="00DC5CE2" w:rsidP="00DC5CE2">
      <w:pPr>
        <w:rPr>
          <w:rFonts w:asciiTheme="majorHAnsi" w:hAnsiTheme="majorHAnsi"/>
          <w:lang w:val="fr-FR"/>
        </w:rPr>
      </w:pPr>
    </w:p>
    <w:p w:rsidR="00341E08" w:rsidRPr="00DC5921" w:rsidRDefault="00341E08" w:rsidP="00DC5CE2">
      <w:pPr>
        <w:rPr>
          <w:rFonts w:asciiTheme="majorHAnsi" w:hAnsiTheme="majorHAnsi"/>
          <w:b/>
          <w:color w:val="000090"/>
        </w:rPr>
      </w:pPr>
      <w:proofErr w:type="spellStart"/>
      <w:r w:rsidRPr="00DC5921">
        <w:rPr>
          <w:rFonts w:asciiTheme="majorHAnsi" w:hAnsiTheme="majorHAnsi"/>
          <w:b/>
          <w:color w:val="000090"/>
        </w:rPr>
        <w:t>Objectifs</w:t>
      </w:r>
      <w:proofErr w:type="spellEnd"/>
    </w:p>
    <w:p w:rsidR="00495787" w:rsidRPr="00DC5921" w:rsidRDefault="00341E08" w:rsidP="00341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HAnsi" w:hAnsiTheme="majorHAnsi"/>
          <w:lang w:val="fr-FR" w:eastAsia="fr-FR"/>
        </w:rPr>
      </w:pPr>
      <w:r w:rsidRPr="00D03CD9">
        <w:rPr>
          <w:rFonts w:asciiTheme="majorHAnsi" w:hAnsiTheme="majorHAnsi"/>
          <w:lang w:val="fr-FR"/>
        </w:rPr>
        <w:t xml:space="preserve">Ce projet se proposait </w:t>
      </w:r>
      <w:r w:rsidR="00181626">
        <w:rPr>
          <w:rFonts w:asciiTheme="majorHAnsi" w:hAnsiTheme="majorHAnsi"/>
          <w:lang w:val="fr-FR" w:eastAsia="fr-FR"/>
        </w:rPr>
        <w:t xml:space="preserve">de poser les premiers jalons </w:t>
      </w:r>
      <w:r w:rsidRPr="00DC5921">
        <w:rPr>
          <w:rFonts w:asciiTheme="majorHAnsi" w:hAnsiTheme="majorHAnsi"/>
          <w:lang w:val="fr-FR" w:eastAsia="fr-FR"/>
        </w:rPr>
        <w:t xml:space="preserve">d'un groupe de recherche </w:t>
      </w:r>
      <w:r w:rsidR="00181626">
        <w:rPr>
          <w:rFonts w:asciiTheme="majorHAnsi" w:hAnsiTheme="majorHAnsi"/>
          <w:lang w:val="fr-FR" w:eastAsia="fr-FR"/>
        </w:rPr>
        <w:t xml:space="preserve">international </w:t>
      </w:r>
      <w:r w:rsidRPr="00DC5921">
        <w:rPr>
          <w:rFonts w:asciiTheme="majorHAnsi" w:hAnsiTheme="majorHAnsi"/>
          <w:lang w:val="fr-FR" w:eastAsia="fr-FR"/>
        </w:rPr>
        <w:t xml:space="preserve">pour </w:t>
      </w:r>
      <w:r w:rsidRPr="00DC5921">
        <w:rPr>
          <w:rFonts w:asciiTheme="majorHAnsi" w:hAnsiTheme="majorHAnsi"/>
          <w:b/>
          <w:lang w:val="fr-FR" w:eastAsia="fr-FR"/>
        </w:rPr>
        <w:t>une étude historique et transnationale des rapports entre sciences, politique de la science et vulgarisation</w:t>
      </w:r>
      <w:r w:rsidRPr="00DC5921">
        <w:rPr>
          <w:rFonts w:asciiTheme="majorHAnsi" w:hAnsiTheme="majorHAnsi"/>
          <w:lang w:val="fr-FR" w:eastAsia="fr-FR"/>
        </w:rPr>
        <w:t>. Au-delà de l'affirmation que ces trois dimensions ont clairement partie liée (ce que la littérature n’avait pas suffisamment pris en compte), l'originalité de la démarche résidait aussi dans le choix des sources mobilisées en priorité : les artefacts, expositions et musées de sciences.  Enfin, le projet se distinguait par l’ambition de créer un dialogue entre la dimension historique (19e et 20 siècles) et des questionnements très contemporains.</w:t>
      </w:r>
    </w:p>
    <w:p w:rsidR="00341E08" w:rsidRPr="00DC5921" w:rsidRDefault="00341E08" w:rsidP="00DC5CE2">
      <w:pPr>
        <w:rPr>
          <w:rFonts w:asciiTheme="majorHAnsi" w:hAnsiTheme="majorHAnsi"/>
        </w:rPr>
      </w:pPr>
    </w:p>
    <w:p w:rsidR="00341E08" w:rsidRPr="00DC5921" w:rsidRDefault="00341E08" w:rsidP="00DC5CE2">
      <w:pPr>
        <w:rPr>
          <w:rFonts w:asciiTheme="majorHAnsi" w:hAnsiTheme="majorHAnsi"/>
          <w:b/>
          <w:color w:val="000090"/>
        </w:rPr>
      </w:pPr>
      <w:proofErr w:type="spellStart"/>
      <w:r w:rsidRPr="00DC5921">
        <w:rPr>
          <w:rFonts w:asciiTheme="majorHAnsi" w:hAnsiTheme="majorHAnsi"/>
          <w:b/>
          <w:color w:val="000090"/>
        </w:rPr>
        <w:t>Réalisation</w:t>
      </w:r>
      <w:proofErr w:type="spellEnd"/>
      <w:r w:rsidRPr="00DC5921">
        <w:rPr>
          <w:rFonts w:asciiTheme="majorHAnsi" w:hAnsiTheme="majorHAnsi"/>
          <w:b/>
          <w:color w:val="000090"/>
        </w:rPr>
        <w:t xml:space="preserve"> </w:t>
      </w:r>
    </w:p>
    <w:p w:rsidR="00341E08" w:rsidRPr="00D03CD9" w:rsidRDefault="00341E08" w:rsidP="00341E08">
      <w:pPr>
        <w:rPr>
          <w:rFonts w:asciiTheme="majorHAnsi" w:hAnsiTheme="majorHAnsi"/>
          <w:lang w:val="fr-FR"/>
        </w:rPr>
      </w:pPr>
      <w:r w:rsidRPr="00D03CD9">
        <w:rPr>
          <w:rFonts w:asciiTheme="majorHAnsi" w:hAnsiTheme="majorHAnsi"/>
          <w:lang w:val="fr-FR"/>
        </w:rPr>
        <w:t>Ce projet, financé par le CIERA à hauteur de 12</w:t>
      </w:r>
      <w:r w:rsidR="00181626" w:rsidRPr="00D03CD9">
        <w:rPr>
          <w:rFonts w:asciiTheme="majorHAnsi" w:hAnsiTheme="majorHAnsi"/>
          <w:lang w:val="fr-FR"/>
        </w:rPr>
        <w:t xml:space="preserve"> </w:t>
      </w:r>
      <w:r w:rsidRPr="00D03CD9">
        <w:rPr>
          <w:rFonts w:asciiTheme="majorHAnsi" w:hAnsiTheme="majorHAnsi"/>
          <w:lang w:val="fr-FR"/>
        </w:rPr>
        <w:t>000 euros, a également été soutenu par l’Université Franco-Allemande (12</w:t>
      </w:r>
      <w:r w:rsidR="00181626" w:rsidRPr="00D03CD9">
        <w:rPr>
          <w:rFonts w:asciiTheme="majorHAnsi" w:hAnsiTheme="majorHAnsi"/>
          <w:lang w:val="fr-FR"/>
        </w:rPr>
        <w:t xml:space="preserve"> </w:t>
      </w:r>
      <w:r w:rsidRPr="00D03CD9">
        <w:rPr>
          <w:rFonts w:asciiTheme="majorHAnsi" w:hAnsiTheme="majorHAnsi"/>
          <w:lang w:val="fr-FR"/>
        </w:rPr>
        <w:t>200 eu</w:t>
      </w:r>
      <w:r w:rsidR="00B10F77" w:rsidRPr="00D03CD9">
        <w:rPr>
          <w:rFonts w:asciiTheme="majorHAnsi" w:hAnsiTheme="majorHAnsi"/>
          <w:lang w:val="fr-FR"/>
        </w:rPr>
        <w:t>ros) et la région Ile de France</w:t>
      </w:r>
      <w:r w:rsidRPr="00D03CD9">
        <w:rPr>
          <w:rFonts w:asciiTheme="majorHAnsi" w:hAnsiTheme="majorHAnsi"/>
          <w:lang w:val="fr-FR"/>
        </w:rPr>
        <w:t xml:space="preserve"> à travers le programme DIM-IS2IT (6</w:t>
      </w:r>
      <w:r w:rsidR="00181626" w:rsidRPr="00D03CD9">
        <w:rPr>
          <w:rFonts w:asciiTheme="majorHAnsi" w:hAnsiTheme="majorHAnsi"/>
          <w:lang w:val="fr-FR"/>
        </w:rPr>
        <w:t xml:space="preserve"> </w:t>
      </w:r>
      <w:r w:rsidRPr="00D03CD9">
        <w:rPr>
          <w:rFonts w:asciiTheme="majorHAnsi" w:hAnsiTheme="majorHAnsi"/>
          <w:lang w:val="fr-FR"/>
        </w:rPr>
        <w:t xml:space="preserve">000 euros). Il s’est déroulé sur trois ans, de 2012 à 2015, et a été marqué par les </w:t>
      </w:r>
      <w:r w:rsidRPr="00D03CD9">
        <w:rPr>
          <w:rFonts w:asciiTheme="majorHAnsi" w:hAnsiTheme="majorHAnsi"/>
          <w:b/>
          <w:lang w:val="fr-FR"/>
        </w:rPr>
        <w:t>étapes</w:t>
      </w:r>
      <w:r w:rsidRPr="00D03CD9">
        <w:rPr>
          <w:rFonts w:asciiTheme="majorHAnsi" w:hAnsiTheme="majorHAnsi"/>
          <w:lang w:val="fr-FR"/>
        </w:rPr>
        <w:t xml:space="preserve"> suivantes: </w:t>
      </w:r>
    </w:p>
    <w:p w:rsidR="00341E08" w:rsidRPr="00D03CD9" w:rsidRDefault="00341E08" w:rsidP="00341E08">
      <w:pPr>
        <w:rPr>
          <w:rFonts w:asciiTheme="majorHAnsi" w:hAnsiTheme="majorHAnsi"/>
          <w:lang w:val="fr-FR"/>
        </w:rPr>
      </w:pPr>
      <w:r w:rsidRPr="00D03CD9">
        <w:rPr>
          <w:rFonts w:asciiTheme="majorHAnsi" w:hAnsiTheme="majorHAnsi"/>
          <w:lang w:val="fr-FR"/>
        </w:rPr>
        <w:t xml:space="preserve">- Décembre 2012- avril 2013 : </w:t>
      </w:r>
      <w:r w:rsidRPr="00D03CD9">
        <w:rPr>
          <w:rFonts w:asciiTheme="majorHAnsi" w:hAnsiTheme="majorHAnsi"/>
          <w:i/>
          <w:lang w:val="fr-FR"/>
        </w:rPr>
        <w:t xml:space="preserve">Voir/Savoir : Images et cultures visuelles dans les sciences, </w:t>
      </w:r>
      <w:r w:rsidR="00B10F77" w:rsidRPr="00D03CD9">
        <w:rPr>
          <w:rFonts w:asciiTheme="majorHAnsi" w:hAnsiTheme="majorHAnsi"/>
          <w:lang w:val="fr-FR"/>
        </w:rPr>
        <w:t>S</w:t>
      </w:r>
      <w:r w:rsidRPr="00D03CD9">
        <w:rPr>
          <w:rFonts w:asciiTheme="majorHAnsi" w:hAnsiTheme="majorHAnsi"/>
          <w:lang w:val="fr-FR"/>
        </w:rPr>
        <w:t>éminaire à l’EHESS, Paris</w:t>
      </w:r>
    </w:p>
    <w:p w:rsidR="00341E08" w:rsidRPr="00D03CD9" w:rsidRDefault="00341E08" w:rsidP="00341E08">
      <w:pPr>
        <w:rPr>
          <w:rFonts w:asciiTheme="majorHAnsi" w:hAnsiTheme="majorHAnsi"/>
          <w:lang w:val="fr-FR"/>
        </w:rPr>
      </w:pPr>
      <w:r w:rsidRPr="00D03CD9">
        <w:rPr>
          <w:rFonts w:asciiTheme="majorHAnsi" w:hAnsiTheme="majorHAnsi"/>
          <w:lang w:val="fr-FR"/>
        </w:rPr>
        <w:t xml:space="preserve">- 2-3 mai 2013 : </w:t>
      </w:r>
      <w:r w:rsidRPr="00D03CD9">
        <w:rPr>
          <w:rFonts w:asciiTheme="majorHAnsi" w:hAnsiTheme="majorHAnsi"/>
          <w:i/>
          <w:lang w:val="fr-FR"/>
        </w:rPr>
        <w:t xml:space="preserve">International Perspectives in the history of science musems and exhibitions, </w:t>
      </w:r>
      <w:r w:rsidRPr="00D03CD9">
        <w:rPr>
          <w:rFonts w:asciiTheme="majorHAnsi" w:hAnsiTheme="majorHAnsi"/>
          <w:lang w:val="fr-FR"/>
        </w:rPr>
        <w:t xml:space="preserve">Séminaire à l’Université Humboldt de Berlin </w:t>
      </w:r>
    </w:p>
    <w:p w:rsidR="00341E08" w:rsidRPr="00D03CD9" w:rsidRDefault="00341E08" w:rsidP="00341E08">
      <w:pPr>
        <w:rPr>
          <w:rFonts w:asciiTheme="majorHAnsi" w:hAnsiTheme="majorHAnsi"/>
          <w:lang w:val="fr-FR"/>
        </w:rPr>
      </w:pPr>
      <w:r w:rsidRPr="00D03CD9">
        <w:rPr>
          <w:rFonts w:asciiTheme="majorHAnsi" w:hAnsiTheme="majorHAnsi"/>
          <w:lang w:val="fr-FR"/>
        </w:rPr>
        <w:t xml:space="preserve">- 26-27 mai 2014 : </w:t>
      </w:r>
      <w:r w:rsidRPr="00D03CD9">
        <w:rPr>
          <w:rFonts w:asciiTheme="majorHAnsi" w:hAnsiTheme="majorHAnsi"/>
          <w:i/>
          <w:lang w:val="fr-FR"/>
        </w:rPr>
        <w:t>L’Inscription spatiale des sciences et ses enjeux</w:t>
      </w:r>
      <w:r w:rsidRPr="00D03CD9">
        <w:rPr>
          <w:rFonts w:asciiTheme="majorHAnsi" w:hAnsiTheme="majorHAnsi"/>
          <w:lang w:val="fr-FR"/>
        </w:rPr>
        <w:t>, Atelier au Musée Curie, Paris</w:t>
      </w:r>
    </w:p>
    <w:p w:rsidR="00341E08" w:rsidRPr="00D03CD9" w:rsidRDefault="00341E08" w:rsidP="00341E08">
      <w:pPr>
        <w:rPr>
          <w:rFonts w:asciiTheme="majorHAnsi" w:hAnsiTheme="majorHAnsi"/>
          <w:lang w:val="de-DE"/>
        </w:rPr>
      </w:pPr>
      <w:r w:rsidRPr="00D03CD9">
        <w:rPr>
          <w:rFonts w:asciiTheme="majorHAnsi" w:hAnsiTheme="majorHAnsi"/>
          <w:lang w:val="de-DE"/>
        </w:rPr>
        <w:t xml:space="preserve">- 5 juin 2014 : </w:t>
      </w:r>
      <w:r w:rsidRPr="00D03CD9">
        <w:rPr>
          <w:rFonts w:asciiTheme="majorHAnsi" w:hAnsiTheme="majorHAnsi"/>
          <w:i/>
          <w:lang w:val="de-DE"/>
        </w:rPr>
        <w:t>Universitätssammlungen präsentieren</w:t>
      </w:r>
      <w:r w:rsidRPr="00D03CD9">
        <w:rPr>
          <w:rFonts w:asciiTheme="majorHAnsi" w:hAnsiTheme="majorHAnsi"/>
          <w:lang w:val="de-DE"/>
        </w:rPr>
        <w:t>, Atelier à l’Université Humboldt de Berlin</w:t>
      </w:r>
    </w:p>
    <w:p w:rsidR="00341E08" w:rsidRPr="00D03CD9" w:rsidRDefault="00341E08" w:rsidP="00341E08">
      <w:pPr>
        <w:rPr>
          <w:rFonts w:asciiTheme="majorHAnsi" w:hAnsiTheme="majorHAnsi"/>
          <w:lang w:val="de-DE"/>
        </w:rPr>
      </w:pPr>
      <w:r w:rsidRPr="00D03CD9">
        <w:rPr>
          <w:rFonts w:asciiTheme="majorHAnsi" w:hAnsiTheme="majorHAnsi"/>
          <w:lang w:val="de-DE"/>
        </w:rPr>
        <w:t xml:space="preserve">- 11-12 novembre 2014: </w:t>
      </w:r>
      <w:r w:rsidRPr="00D03CD9">
        <w:rPr>
          <w:rFonts w:asciiTheme="majorHAnsi" w:hAnsiTheme="majorHAnsi"/>
          <w:i/>
          <w:lang w:val="de-DE"/>
        </w:rPr>
        <w:t>Wissenschaftliche Sammlungsbestände ausstellen/Ich sehe wunderbare Dinge</w:t>
      </w:r>
      <w:r w:rsidR="00B10F77" w:rsidRPr="00D03CD9">
        <w:rPr>
          <w:rFonts w:asciiTheme="majorHAnsi" w:hAnsiTheme="majorHAnsi"/>
          <w:lang w:val="de-DE"/>
        </w:rPr>
        <w:t>, V</w:t>
      </w:r>
      <w:r w:rsidRPr="00D03CD9">
        <w:rPr>
          <w:rFonts w:asciiTheme="majorHAnsi" w:hAnsiTheme="majorHAnsi"/>
          <w:lang w:val="de-DE"/>
        </w:rPr>
        <w:t>oyage d’études à l’université Goethe, Francfort sur le Main</w:t>
      </w:r>
    </w:p>
    <w:p w:rsidR="00341E08" w:rsidRPr="00D03CD9" w:rsidRDefault="00341E08" w:rsidP="00341E08">
      <w:pPr>
        <w:rPr>
          <w:rFonts w:asciiTheme="majorHAnsi" w:hAnsiTheme="majorHAnsi"/>
          <w:lang w:val="fr-FR"/>
        </w:rPr>
      </w:pPr>
      <w:r w:rsidRPr="00D03CD9">
        <w:rPr>
          <w:rFonts w:asciiTheme="majorHAnsi" w:hAnsiTheme="majorHAnsi"/>
          <w:lang w:val="fr-FR"/>
        </w:rPr>
        <w:t xml:space="preserve">- 5-7 mai 2015: </w:t>
      </w:r>
      <w:r w:rsidRPr="00D03CD9">
        <w:rPr>
          <w:rFonts w:asciiTheme="majorHAnsi" w:hAnsiTheme="majorHAnsi"/>
          <w:i/>
          <w:lang w:val="fr-FR"/>
        </w:rPr>
        <w:t>Les mises en scène des sciences et leurs enjeux, XIXe- XXIe siècles</w:t>
      </w:r>
      <w:r w:rsidR="00B10F77" w:rsidRPr="00D03CD9">
        <w:rPr>
          <w:rFonts w:asciiTheme="majorHAnsi" w:hAnsiTheme="majorHAnsi"/>
          <w:lang w:val="fr-FR"/>
        </w:rPr>
        <w:t>, C</w:t>
      </w:r>
      <w:r w:rsidRPr="00D03CD9">
        <w:rPr>
          <w:rFonts w:asciiTheme="majorHAnsi" w:hAnsiTheme="majorHAnsi"/>
          <w:lang w:val="fr-FR"/>
        </w:rPr>
        <w:t>olloque international, Institut Historique Allemand, Paris</w:t>
      </w:r>
    </w:p>
    <w:p w:rsidR="00341E08" w:rsidRPr="00D03CD9" w:rsidRDefault="00341E08" w:rsidP="00341E08">
      <w:pPr>
        <w:rPr>
          <w:rFonts w:asciiTheme="majorHAnsi" w:hAnsiTheme="majorHAnsi"/>
          <w:lang w:val="fr-FR"/>
        </w:rPr>
      </w:pPr>
      <w:r w:rsidRPr="00D03CD9">
        <w:rPr>
          <w:rFonts w:asciiTheme="majorHAnsi" w:hAnsiTheme="majorHAnsi"/>
          <w:lang w:val="fr-FR"/>
        </w:rPr>
        <w:t xml:space="preserve">Ces manifestations et les autres activités entrant dans le cadre du projet sont documentées sur le </w:t>
      </w:r>
      <w:r w:rsidRPr="00D03CD9">
        <w:rPr>
          <w:rFonts w:asciiTheme="majorHAnsi" w:hAnsiTheme="majorHAnsi"/>
          <w:b/>
          <w:lang w:val="fr-FR"/>
        </w:rPr>
        <w:t>carnet de recherche</w:t>
      </w:r>
      <w:r w:rsidRPr="00D03CD9">
        <w:rPr>
          <w:rFonts w:asciiTheme="majorHAnsi" w:hAnsiTheme="majorHAnsi"/>
          <w:lang w:val="fr-FR"/>
        </w:rPr>
        <w:t xml:space="preserve"> du projet: matap.hypotheses.org</w:t>
      </w:r>
    </w:p>
    <w:p w:rsidR="00DC5921" w:rsidRPr="00D03CD9" w:rsidRDefault="00495787" w:rsidP="00341E08">
      <w:pPr>
        <w:rPr>
          <w:rFonts w:asciiTheme="majorHAnsi" w:hAnsiTheme="majorHAnsi"/>
          <w:lang w:val="fr-FR"/>
        </w:rPr>
      </w:pPr>
      <w:r w:rsidRPr="00D03CD9">
        <w:rPr>
          <w:rFonts w:asciiTheme="majorHAnsi" w:hAnsiTheme="majorHAnsi"/>
          <w:lang w:val="fr-FR"/>
        </w:rPr>
        <w:t xml:space="preserve">Cette structuration alternant manifestations principalement </w:t>
      </w:r>
      <w:r w:rsidR="00B10F77" w:rsidRPr="00D03CD9">
        <w:rPr>
          <w:rFonts w:asciiTheme="majorHAnsi" w:hAnsiTheme="majorHAnsi"/>
          <w:lang w:val="fr-FR"/>
        </w:rPr>
        <w:t>adressées</w:t>
      </w:r>
      <w:r w:rsidRPr="00D03CD9">
        <w:rPr>
          <w:rFonts w:asciiTheme="majorHAnsi" w:hAnsiTheme="majorHAnsi"/>
          <w:lang w:val="fr-FR"/>
        </w:rPr>
        <w:t xml:space="preserve"> </w:t>
      </w:r>
      <w:r w:rsidR="00B10F77" w:rsidRPr="00D03CD9">
        <w:rPr>
          <w:rFonts w:asciiTheme="majorHAnsi" w:hAnsiTheme="majorHAnsi"/>
          <w:lang w:val="fr-FR"/>
        </w:rPr>
        <w:t xml:space="preserve">aux </w:t>
      </w:r>
      <w:r w:rsidRPr="00D03CD9">
        <w:rPr>
          <w:rFonts w:asciiTheme="majorHAnsi" w:hAnsiTheme="majorHAnsi"/>
          <w:lang w:val="fr-FR"/>
        </w:rPr>
        <w:t xml:space="preserve">jeunes chercheurs (séminaire, voyage d’étude, ateliers) et évènements publics plus formels </w:t>
      </w:r>
      <w:r w:rsidRPr="00D03CD9">
        <w:rPr>
          <w:rFonts w:asciiTheme="majorHAnsi" w:hAnsiTheme="majorHAnsi"/>
          <w:lang w:val="fr-FR"/>
        </w:rPr>
        <w:lastRenderedPageBreak/>
        <w:t xml:space="preserve">associant </w:t>
      </w:r>
      <w:r w:rsidR="00B10F77" w:rsidRPr="00D03CD9">
        <w:rPr>
          <w:rFonts w:asciiTheme="majorHAnsi" w:hAnsiTheme="majorHAnsi"/>
          <w:lang w:val="fr-FR"/>
        </w:rPr>
        <w:t xml:space="preserve">également </w:t>
      </w:r>
      <w:r w:rsidRPr="00D03CD9">
        <w:rPr>
          <w:rFonts w:asciiTheme="majorHAnsi" w:hAnsiTheme="majorHAnsi"/>
          <w:lang w:val="fr-FR"/>
        </w:rPr>
        <w:t xml:space="preserve">des chercheurs et professionnels </w:t>
      </w:r>
      <w:r w:rsidR="00181626" w:rsidRPr="00D03CD9">
        <w:rPr>
          <w:rFonts w:asciiTheme="majorHAnsi" w:hAnsiTheme="majorHAnsi"/>
          <w:lang w:val="fr-FR"/>
        </w:rPr>
        <w:t>établis</w:t>
      </w:r>
      <w:r w:rsidRPr="00D03CD9">
        <w:rPr>
          <w:rFonts w:asciiTheme="majorHAnsi" w:hAnsiTheme="majorHAnsi"/>
          <w:lang w:val="fr-FR"/>
        </w:rPr>
        <w:t xml:space="preserve">, a </w:t>
      </w:r>
      <w:r w:rsidR="00181626" w:rsidRPr="00D03CD9">
        <w:rPr>
          <w:rFonts w:asciiTheme="majorHAnsi" w:hAnsiTheme="majorHAnsi"/>
          <w:lang w:val="fr-FR"/>
        </w:rPr>
        <w:t>été un moyen</w:t>
      </w:r>
      <w:r w:rsidRPr="00D03CD9">
        <w:rPr>
          <w:rFonts w:asciiTheme="majorHAnsi" w:hAnsiTheme="majorHAnsi"/>
          <w:lang w:val="fr-FR"/>
        </w:rPr>
        <w:t xml:space="preserve"> efficace de constituer, de faire vivre et d’élargir le réseau</w:t>
      </w:r>
      <w:r w:rsidR="00B10F77" w:rsidRPr="00D03CD9">
        <w:rPr>
          <w:rFonts w:asciiTheme="majorHAnsi" w:hAnsiTheme="majorHAnsi"/>
          <w:lang w:val="fr-FR"/>
        </w:rPr>
        <w:t xml:space="preserve"> au cours du temps</w:t>
      </w:r>
      <w:r w:rsidR="00181626" w:rsidRPr="00D03CD9">
        <w:rPr>
          <w:rFonts w:asciiTheme="majorHAnsi" w:hAnsiTheme="majorHAnsi"/>
          <w:lang w:val="fr-FR"/>
        </w:rPr>
        <w:t xml:space="preserve"> (on estime à environ 170 le nombre total de participants)</w:t>
      </w:r>
      <w:r w:rsidRPr="00D03CD9">
        <w:rPr>
          <w:rFonts w:asciiTheme="majorHAnsi" w:hAnsiTheme="majorHAnsi"/>
          <w:lang w:val="fr-FR"/>
        </w:rPr>
        <w:t>. L’organisation de visites sur le terrain</w:t>
      </w:r>
      <w:r w:rsidR="00B10F77" w:rsidRPr="00D03CD9">
        <w:rPr>
          <w:rFonts w:asciiTheme="majorHAnsi" w:hAnsiTheme="majorHAnsi"/>
          <w:lang w:val="fr-FR"/>
        </w:rPr>
        <w:t>, dans des collections et expositions</w:t>
      </w:r>
      <w:r w:rsidRPr="00D03CD9">
        <w:rPr>
          <w:rFonts w:asciiTheme="majorHAnsi" w:hAnsiTheme="majorHAnsi"/>
          <w:lang w:val="fr-FR"/>
        </w:rPr>
        <w:t xml:space="preserve"> à Paris, Berlin et Francfort a </w:t>
      </w:r>
      <w:r w:rsidR="00181626" w:rsidRPr="00D03CD9">
        <w:rPr>
          <w:rFonts w:asciiTheme="majorHAnsi" w:hAnsiTheme="majorHAnsi"/>
          <w:lang w:val="fr-FR"/>
        </w:rPr>
        <w:t>permis</w:t>
      </w:r>
      <w:r w:rsidRPr="00D03CD9">
        <w:rPr>
          <w:rFonts w:asciiTheme="majorHAnsi" w:hAnsiTheme="majorHAnsi"/>
          <w:lang w:val="fr-FR"/>
        </w:rPr>
        <w:t xml:space="preserve"> aux jeunes chercheurs de faire l’expérience des enjeux concrets de la mise en scène des sciences aujourd’hui; il a promu des interactions fructueuses avec des professionnels de la </w:t>
      </w:r>
      <w:r w:rsidR="00B10F77" w:rsidRPr="00D03CD9">
        <w:rPr>
          <w:rFonts w:asciiTheme="majorHAnsi" w:hAnsiTheme="majorHAnsi"/>
          <w:lang w:val="fr-FR"/>
        </w:rPr>
        <w:t>conservation et de la muséologie</w:t>
      </w:r>
      <w:r w:rsidRPr="00D03CD9">
        <w:rPr>
          <w:rFonts w:asciiTheme="majorHAnsi" w:hAnsiTheme="majorHAnsi"/>
          <w:lang w:val="fr-FR"/>
        </w:rPr>
        <w:t>. Par là nous avons pu également réaliser un objectif clé du projet, la mise en per</w:t>
      </w:r>
      <w:r w:rsidR="00573362" w:rsidRPr="00D03CD9">
        <w:rPr>
          <w:rFonts w:asciiTheme="majorHAnsi" w:hAnsiTheme="majorHAnsi"/>
          <w:lang w:val="fr-FR"/>
        </w:rPr>
        <w:t>spective mutelle des questionnements</w:t>
      </w:r>
      <w:r w:rsidRPr="00D03CD9">
        <w:rPr>
          <w:rFonts w:asciiTheme="majorHAnsi" w:hAnsiTheme="majorHAnsi"/>
          <w:lang w:val="fr-FR"/>
        </w:rPr>
        <w:t xml:space="preserve"> </w:t>
      </w:r>
      <w:r w:rsidR="00573362" w:rsidRPr="00D03CD9">
        <w:rPr>
          <w:rFonts w:asciiTheme="majorHAnsi" w:hAnsiTheme="majorHAnsi"/>
          <w:lang w:val="fr-FR"/>
        </w:rPr>
        <w:t>contemporains</w:t>
      </w:r>
      <w:r w:rsidRPr="00D03CD9">
        <w:rPr>
          <w:rFonts w:asciiTheme="majorHAnsi" w:hAnsiTheme="majorHAnsi"/>
          <w:lang w:val="fr-FR"/>
        </w:rPr>
        <w:t xml:space="preserve"> et de l’historiographie de la muséologie scientifique. </w:t>
      </w:r>
      <w:r w:rsidR="00B10F77" w:rsidRPr="00D03CD9">
        <w:rPr>
          <w:rFonts w:asciiTheme="majorHAnsi" w:hAnsiTheme="majorHAnsi"/>
          <w:lang w:val="fr-FR"/>
        </w:rPr>
        <w:t xml:space="preserve">Les différentes manifestations </w:t>
      </w:r>
      <w:r w:rsidR="00181626" w:rsidRPr="00D03CD9">
        <w:rPr>
          <w:rFonts w:asciiTheme="majorHAnsi" w:hAnsiTheme="majorHAnsi"/>
          <w:lang w:val="fr-FR"/>
        </w:rPr>
        <w:t>étaient</w:t>
      </w:r>
      <w:r w:rsidR="00B10F77" w:rsidRPr="00D03CD9">
        <w:rPr>
          <w:rFonts w:asciiTheme="majorHAnsi" w:hAnsiTheme="majorHAnsi"/>
          <w:lang w:val="fr-FR"/>
        </w:rPr>
        <w:t xml:space="preserve"> </w:t>
      </w:r>
      <w:r w:rsidR="00181626" w:rsidRPr="00D03CD9">
        <w:rPr>
          <w:rFonts w:asciiTheme="majorHAnsi" w:hAnsiTheme="majorHAnsi"/>
          <w:lang w:val="fr-FR"/>
        </w:rPr>
        <w:t>focalisées sur</w:t>
      </w:r>
      <w:r w:rsidR="00B10F77" w:rsidRPr="00D03CD9">
        <w:rPr>
          <w:rFonts w:asciiTheme="majorHAnsi" w:hAnsiTheme="majorHAnsi"/>
          <w:lang w:val="fr-FR"/>
        </w:rPr>
        <w:t xml:space="preserve"> des dimensions specifiques du projet telles que le rôle de l’espace et de l’architecture, l’histoire et la valorisation actuelle des collections universitaires, ou les dimensions visuelles de la mise en scène des sciences. Ces différentes thématiques ont ensuite été rassemblées pour figurer dans le colloque final dans la perspective de l’élaboration d’un volume collectif synthétisant </w:t>
      </w:r>
      <w:r w:rsidR="00181626" w:rsidRPr="00D03CD9">
        <w:rPr>
          <w:rFonts w:asciiTheme="majorHAnsi" w:hAnsiTheme="majorHAnsi"/>
          <w:lang w:val="fr-FR"/>
        </w:rPr>
        <w:t xml:space="preserve">les résultats du projet et les rendant accessibles à un plus large public. </w:t>
      </w:r>
    </w:p>
    <w:p w:rsidR="00341E08" w:rsidRPr="00D03CD9" w:rsidRDefault="00341E08" w:rsidP="00341E08">
      <w:pPr>
        <w:rPr>
          <w:rFonts w:asciiTheme="majorHAnsi" w:hAnsiTheme="majorHAnsi"/>
          <w:lang w:val="fr-FR"/>
        </w:rPr>
      </w:pPr>
    </w:p>
    <w:p w:rsidR="00341E08" w:rsidRPr="00D03CD9" w:rsidRDefault="00341E08" w:rsidP="00DC5CE2">
      <w:pPr>
        <w:rPr>
          <w:rFonts w:asciiTheme="majorHAnsi" w:hAnsiTheme="majorHAnsi"/>
          <w:b/>
          <w:color w:val="000090"/>
          <w:lang w:val="fr-FR"/>
        </w:rPr>
      </w:pPr>
      <w:r w:rsidRPr="00D03CD9">
        <w:rPr>
          <w:rFonts w:asciiTheme="majorHAnsi" w:hAnsiTheme="majorHAnsi"/>
          <w:b/>
          <w:color w:val="000090"/>
          <w:lang w:val="fr-FR"/>
        </w:rPr>
        <w:t xml:space="preserve">Valorisation et débouchés </w:t>
      </w:r>
    </w:p>
    <w:p w:rsidR="00341E08" w:rsidRPr="00DC5921" w:rsidRDefault="00495787" w:rsidP="00DC5CE2">
      <w:pPr>
        <w:rPr>
          <w:rFonts w:asciiTheme="majorHAnsi" w:hAnsiTheme="majorHAnsi"/>
        </w:rPr>
      </w:pPr>
      <w:r w:rsidRPr="00D03CD9">
        <w:rPr>
          <w:rFonts w:asciiTheme="majorHAnsi" w:hAnsiTheme="majorHAnsi"/>
          <w:b/>
          <w:lang w:val="fr-FR"/>
        </w:rPr>
        <w:t>Publication</w:t>
      </w:r>
      <w:r w:rsidRPr="00D03CD9">
        <w:rPr>
          <w:rFonts w:asciiTheme="majorHAnsi" w:hAnsiTheme="majorHAnsi"/>
          <w:lang w:val="fr-FR"/>
        </w:rPr>
        <w:t xml:space="preserve">: </w:t>
      </w:r>
      <w:r w:rsidRPr="00DC5921">
        <w:rPr>
          <w:rFonts w:asciiTheme="majorHAnsi" w:hAnsiTheme="majorHAnsi"/>
          <w:lang w:val="fr-FR"/>
        </w:rPr>
        <w:t>André</w:t>
      </w:r>
      <w:r w:rsidR="00B10F77" w:rsidRPr="00DC5921">
        <w:rPr>
          <w:rFonts w:asciiTheme="majorHAnsi" w:hAnsiTheme="majorHAnsi"/>
          <w:lang w:val="fr-FR"/>
        </w:rPr>
        <w:t xml:space="preserve">e Bergeron et </w:t>
      </w:r>
      <w:r w:rsidRPr="00DC5921">
        <w:rPr>
          <w:rFonts w:asciiTheme="majorHAnsi" w:hAnsiTheme="majorHAnsi"/>
          <w:lang w:val="fr-FR"/>
        </w:rPr>
        <w:t>Charlotte Bigg</w:t>
      </w:r>
      <w:r w:rsidR="00B10F77" w:rsidRPr="00DC5921">
        <w:rPr>
          <w:rFonts w:asciiTheme="majorHAnsi" w:hAnsiTheme="majorHAnsi"/>
          <w:lang w:val="fr-FR"/>
        </w:rPr>
        <w:t xml:space="preserve">, «  </w:t>
      </w:r>
      <w:r w:rsidR="00B10F77" w:rsidRPr="00DC5921">
        <w:rPr>
          <w:rFonts w:asciiTheme="majorHAnsi" w:hAnsiTheme="majorHAnsi" w:cs="FreeSerif"/>
          <w:szCs w:val="20"/>
          <w:lang w:val="fr-FR"/>
        </w:rPr>
        <w:t xml:space="preserve">D'ombres et de lumières. L'Exposition de 1937 et les premières années du Palais de la découverte au prisme du transnational », </w:t>
      </w:r>
      <w:r w:rsidR="00B10F77" w:rsidRPr="00DC5921">
        <w:rPr>
          <w:rFonts w:asciiTheme="majorHAnsi" w:hAnsiTheme="majorHAnsi" w:cs="FreeSerif"/>
          <w:i/>
          <w:szCs w:val="20"/>
          <w:lang w:val="fr-FR"/>
        </w:rPr>
        <w:t>Revue Germanique Internationale</w:t>
      </w:r>
      <w:r w:rsidR="00B10F77" w:rsidRPr="00DC5921">
        <w:rPr>
          <w:rFonts w:asciiTheme="majorHAnsi" w:hAnsiTheme="majorHAnsi" w:cs="FreeSerif"/>
          <w:szCs w:val="20"/>
          <w:lang w:val="fr-FR"/>
        </w:rPr>
        <w:t xml:space="preserve"> 21, numéro spécial </w:t>
      </w:r>
      <w:r w:rsidR="00B10F77" w:rsidRPr="00DC5921">
        <w:rPr>
          <w:rFonts w:asciiTheme="majorHAnsi" w:hAnsiTheme="majorHAnsi" w:cs="FreeSerif"/>
          <w:i/>
          <w:szCs w:val="20"/>
          <w:lang w:val="fr-FR"/>
        </w:rPr>
        <w:t>La part étrangère des musées</w:t>
      </w:r>
      <w:r w:rsidR="00B10F77" w:rsidRPr="00DC5921">
        <w:rPr>
          <w:rFonts w:asciiTheme="majorHAnsi" w:hAnsiTheme="majorHAnsi" w:cs="FreeSerif"/>
          <w:szCs w:val="20"/>
          <w:lang w:val="fr-FR"/>
        </w:rPr>
        <w:t xml:space="preserve">, p. 187-206 </w:t>
      </w:r>
    </w:p>
    <w:p w:rsidR="00495787" w:rsidRPr="00DC5921" w:rsidRDefault="00495787" w:rsidP="00495787">
      <w:pPr>
        <w:rPr>
          <w:rFonts w:asciiTheme="majorHAnsi" w:hAnsiTheme="majorHAnsi"/>
          <w:lang w:val="fr-FR"/>
        </w:rPr>
      </w:pPr>
      <w:r w:rsidRPr="00DC5921">
        <w:rPr>
          <w:rFonts w:asciiTheme="majorHAnsi" w:hAnsiTheme="majorHAnsi"/>
          <w:b/>
          <w:lang w:val="fr-FR"/>
        </w:rPr>
        <w:t>Publication</w:t>
      </w:r>
      <w:r w:rsidRPr="00DC5921">
        <w:rPr>
          <w:rFonts w:asciiTheme="majorHAnsi" w:hAnsiTheme="majorHAnsi"/>
          <w:lang w:val="fr-FR"/>
        </w:rPr>
        <w:t xml:space="preserve"> collective / numéro spécial de revue en préparation</w:t>
      </w:r>
    </w:p>
    <w:p w:rsidR="00B10F77" w:rsidRPr="00DC5921" w:rsidRDefault="00495787" w:rsidP="00495787">
      <w:pPr>
        <w:rPr>
          <w:rFonts w:asciiTheme="majorHAnsi" w:hAnsiTheme="majorHAnsi"/>
          <w:lang w:val="fr-FR"/>
        </w:rPr>
      </w:pPr>
      <w:r w:rsidRPr="00DC5921">
        <w:rPr>
          <w:rFonts w:asciiTheme="majorHAnsi" w:hAnsiTheme="majorHAnsi"/>
          <w:b/>
          <w:lang w:val="fr-FR"/>
        </w:rPr>
        <w:t>Valorisation</w:t>
      </w:r>
      <w:r w:rsidR="00B10F77" w:rsidRPr="00DC5921">
        <w:rPr>
          <w:rFonts w:asciiTheme="majorHAnsi" w:hAnsiTheme="majorHAnsi"/>
          <w:b/>
          <w:lang w:val="fr-FR"/>
        </w:rPr>
        <w:t xml:space="preserve"> auprès du grand public</w:t>
      </w:r>
      <w:r w:rsidRPr="00DC5921">
        <w:rPr>
          <w:rFonts w:asciiTheme="majorHAnsi" w:hAnsiTheme="majorHAnsi"/>
          <w:lang w:val="fr-FR"/>
        </w:rPr>
        <w:t xml:space="preserve"> : Projection et débat public autour du documentaire «</w:t>
      </w:r>
      <w:r w:rsidRPr="00DC5921">
        <w:rPr>
          <w:rFonts w:asciiTheme="majorHAnsi" w:hAnsiTheme="majorHAnsi"/>
          <w:i/>
          <w:lang w:val="fr-FR"/>
        </w:rPr>
        <w:t>At Berkeley »</w:t>
      </w:r>
      <w:r w:rsidRPr="00DC5921">
        <w:rPr>
          <w:rFonts w:asciiTheme="majorHAnsi" w:hAnsiTheme="majorHAnsi"/>
          <w:lang w:val="fr-FR"/>
        </w:rPr>
        <w:t xml:space="preserve"> de Frederick Wiseman (2013) qui thématise les mutations contemporaine des universités et constitue en lui même une réflexion sur la représentation de l’institut</w:t>
      </w:r>
      <w:r w:rsidR="00DC5921" w:rsidRPr="00DC5921">
        <w:rPr>
          <w:rFonts w:asciiTheme="majorHAnsi" w:hAnsiTheme="majorHAnsi"/>
          <w:lang w:val="fr-FR"/>
        </w:rPr>
        <w:t>ion savante et des sciences. Évè</w:t>
      </w:r>
      <w:r w:rsidRPr="00DC5921">
        <w:rPr>
          <w:rFonts w:asciiTheme="majorHAnsi" w:hAnsiTheme="majorHAnsi"/>
          <w:lang w:val="fr-FR"/>
        </w:rPr>
        <w:t xml:space="preserve">nement prévu pour fin 2015 - début 2016, avec le soutien de la région Île de France, programme DIM-IS2IT. </w:t>
      </w:r>
    </w:p>
    <w:p w:rsidR="00341E08" w:rsidRPr="00DC5921" w:rsidRDefault="00B10F77" w:rsidP="00DC5921">
      <w:pPr>
        <w:rPr>
          <w:rFonts w:asciiTheme="majorHAnsi" w:hAnsiTheme="majorHAnsi"/>
          <w:lang w:val="fr-FR"/>
        </w:rPr>
      </w:pPr>
      <w:r w:rsidRPr="00DC5921">
        <w:rPr>
          <w:rFonts w:asciiTheme="majorHAnsi" w:hAnsiTheme="majorHAnsi"/>
          <w:b/>
          <w:lang w:val="fr-FR"/>
        </w:rPr>
        <w:t xml:space="preserve">Valorisation auprès de publics universitaires : </w:t>
      </w:r>
      <w:r w:rsidR="00DC5921" w:rsidRPr="00DC5921">
        <w:rPr>
          <w:rFonts w:asciiTheme="majorHAnsi" w:hAnsiTheme="majorHAnsi"/>
          <w:lang w:val="fr-FR"/>
        </w:rPr>
        <w:t xml:space="preserve">Ce projet a attiré l’attention de divers acteurs en histoire, histoire des sciences, et professionnels de la muséologie des sciences. </w:t>
      </w:r>
      <w:r w:rsidR="00573362">
        <w:rPr>
          <w:rFonts w:asciiTheme="majorHAnsi" w:hAnsiTheme="majorHAnsi"/>
          <w:lang w:val="fr-FR"/>
        </w:rPr>
        <w:t>Nous</w:t>
      </w:r>
      <w:r w:rsidR="00DC5921" w:rsidRPr="00DC5921">
        <w:rPr>
          <w:rFonts w:asciiTheme="majorHAnsi" w:hAnsiTheme="majorHAnsi"/>
          <w:lang w:val="fr-FR"/>
        </w:rPr>
        <w:t xml:space="preserve"> </w:t>
      </w:r>
      <w:r w:rsidR="00573362">
        <w:rPr>
          <w:rFonts w:asciiTheme="majorHAnsi" w:hAnsiTheme="majorHAnsi"/>
          <w:lang w:val="fr-FR"/>
        </w:rPr>
        <w:t>avons</w:t>
      </w:r>
      <w:r w:rsidR="00DC5921" w:rsidRPr="00DC5921">
        <w:rPr>
          <w:rFonts w:asciiTheme="majorHAnsi" w:hAnsiTheme="majorHAnsi"/>
          <w:lang w:val="fr-FR"/>
        </w:rPr>
        <w:t xml:space="preserve"> été invitées à le présenter notamment à l’IMT de </w:t>
      </w:r>
      <w:proofErr w:type="spellStart"/>
      <w:r w:rsidR="00DC5921" w:rsidRPr="00DC5921">
        <w:rPr>
          <w:rFonts w:asciiTheme="majorHAnsi" w:hAnsiTheme="majorHAnsi"/>
          <w:lang w:val="fr-FR"/>
        </w:rPr>
        <w:t>Lucca</w:t>
      </w:r>
      <w:proofErr w:type="spellEnd"/>
      <w:r w:rsidR="00DC5921" w:rsidRPr="00DC5921">
        <w:rPr>
          <w:rFonts w:asciiTheme="majorHAnsi" w:hAnsiTheme="majorHAnsi"/>
          <w:lang w:val="fr-FR"/>
        </w:rPr>
        <w:t xml:space="preserve"> au printemps 2015 ainsi qu’à l’université Autonome de Barcelone à l’automne 2015. Des discussions sont en cours avec ces deux institutions, mais aussi avec l’université Goethe de Francfort avec qui des liens forts se sont </w:t>
      </w:r>
      <w:r w:rsidR="00573362">
        <w:rPr>
          <w:rFonts w:asciiTheme="majorHAnsi" w:hAnsiTheme="majorHAnsi"/>
          <w:lang w:val="fr-FR"/>
        </w:rPr>
        <w:t>noués</w:t>
      </w:r>
      <w:r w:rsidR="00DC5921" w:rsidRPr="00DC5921">
        <w:rPr>
          <w:rFonts w:asciiTheme="majorHAnsi" w:hAnsiTheme="majorHAnsi"/>
          <w:lang w:val="fr-FR"/>
        </w:rPr>
        <w:t xml:space="preserve"> au cours du projet, pour élaborer des échanges d’étudiants et la poursuite du projet sous d’autres formes à définir. </w:t>
      </w:r>
    </w:p>
    <w:p w:rsidR="00341E08" w:rsidRPr="00DC5921" w:rsidRDefault="00341E08" w:rsidP="00DC5CE2">
      <w:pPr>
        <w:tabs>
          <w:tab w:val="left" w:pos="8371"/>
        </w:tabs>
        <w:rPr>
          <w:rFonts w:asciiTheme="majorHAnsi" w:hAnsiTheme="majorHAnsi"/>
          <w:b/>
          <w:color w:val="000090"/>
        </w:rPr>
      </w:pPr>
      <w:r w:rsidRPr="00DC5921">
        <w:rPr>
          <w:rFonts w:asciiTheme="majorHAnsi" w:hAnsiTheme="majorHAnsi"/>
          <w:b/>
          <w:color w:val="000090"/>
        </w:rPr>
        <w:t xml:space="preserve">Signature des </w:t>
      </w:r>
      <w:proofErr w:type="spellStart"/>
      <w:r w:rsidRPr="00DC5921">
        <w:rPr>
          <w:rFonts w:asciiTheme="majorHAnsi" w:hAnsiTheme="majorHAnsi"/>
          <w:b/>
          <w:color w:val="000090"/>
        </w:rPr>
        <w:t>responsables</w:t>
      </w:r>
      <w:proofErr w:type="spellEnd"/>
    </w:p>
    <w:p w:rsidR="00341E08" w:rsidRPr="00DC5921" w:rsidRDefault="00341E08" w:rsidP="00DC5CE2">
      <w:pPr>
        <w:tabs>
          <w:tab w:val="left" w:pos="8371"/>
        </w:tabs>
        <w:rPr>
          <w:rFonts w:asciiTheme="majorHAnsi" w:hAnsiTheme="majorHAnsi"/>
        </w:rPr>
      </w:pPr>
      <w:proofErr w:type="spellStart"/>
      <w:r w:rsidRPr="00DC5921">
        <w:rPr>
          <w:rFonts w:asciiTheme="majorHAnsi" w:hAnsiTheme="majorHAnsi"/>
        </w:rPr>
        <w:t>Andrée</w:t>
      </w:r>
      <w:proofErr w:type="spellEnd"/>
      <w:r w:rsidRPr="00DC5921">
        <w:rPr>
          <w:rFonts w:asciiTheme="majorHAnsi" w:hAnsiTheme="majorHAnsi"/>
        </w:rPr>
        <w:t xml:space="preserve"> Bergeron                                                                                          Charlotte </w:t>
      </w:r>
      <w:proofErr w:type="spellStart"/>
      <w:r w:rsidRPr="00DC5921">
        <w:rPr>
          <w:rFonts w:asciiTheme="majorHAnsi" w:hAnsiTheme="majorHAnsi"/>
        </w:rPr>
        <w:t>Bigg</w:t>
      </w:r>
      <w:proofErr w:type="spellEnd"/>
    </w:p>
    <w:p w:rsidR="00DC5CE2" w:rsidRPr="00DC5921" w:rsidRDefault="00341E08" w:rsidP="00DC5CE2">
      <w:pPr>
        <w:tabs>
          <w:tab w:val="left" w:pos="8371"/>
        </w:tabs>
        <w:rPr>
          <w:rFonts w:asciiTheme="majorHAnsi" w:hAnsiTheme="majorHAnsi"/>
        </w:rPr>
      </w:pPr>
      <w:r w:rsidRPr="00DC5921">
        <w:rPr>
          <w:rFonts w:asciiTheme="majorHAnsi" w:hAnsiTheme="majorHAnsi"/>
        </w:rPr>
        <w:t xml:space="preserve">                                                                                                                         </w:t>
      </w:r>
      <w:r w:rsidRPr="00DC5921">
        <w:rPr>
          <w:rFonts w:asciiTheme="majorHAnsi" w:hAnsiTheme="majorHAnsi"/>
          <w:noProof/>
          <w:lang w:val="fr-FR" w:eastAsia="fr-FR"/>
        </w:rPr>
        <w:drawing>
          <wp:inline distT="0" distB="0" distL="0" distR="0">
            <wp:extent cx="1060662" cy="678933"/>
            <wp:effectExtent l="25400" t="0" r="6138"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68795" cy="684139"/>
                    </a:xfrm>
                    <a:prstGeom prst="rect">
                      <a:avLst/>
                    </a:prstGeom>
                    <a:noFill/>
                    <a:ln w="9525">
                      <a:noFill/>
                      <a:miter lim="800000"/>
                      <a:headEnd/>
                      <a:tailEnd/>
                    </a:ln>
                  </pic:spPr>
                </pic:pic>
              </a:graphicData>
            </a:graphic>
          </wp:inline>
        </w:drawing>
      </w:r>
    </w:p>
    <w:sectPr w:rsidR="00DC5CE2" w:rsidRPr="00DC5921" w:rsidSect="00DC5CE2">
      <w:head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687" w:rsidRDefault="00D05ACE">
      <w:pPr>
        <w:spacing w:after="0"/>
      </w:pPr>
      <w:r>
        <w:separator/>
      </w:r>
    </w:p>
  </w:endnote>
  <w:endnote w:type="continuationSeparator" w:id="0">
    <w:p w:rsidR="00905687" w:rsidRDefault="00D05A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FreeSerif">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687" w:rsidRDefault="00D05ACE">
      <w:pPr>
        <w:spacing w:after="0"/>
      </w:pPr>
      <w:r>
        <w:separator/>
      </w:r>
    </w:p>
  </w:footnote>
  <w:footnote w:type="continuationSeparator" w:id="0">
    <w:p w:rsidR="00905687" w:rsidRDefault="00D05AC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626" w:rsidRDefault="00181626" w:rsidP="00DC5CE2">
    <w:pPr>
      <w:pStyle w:val="En-tte"/>
      <w:jc w:val="center"/>
    </w:pPr>
    <w:r w:rsidRPr="00DC5CE2">
      <w:rPr>
        <w:noProof/>
        <w:lang w:val="fr-FR" w:eastAsia="fr-FR"/>
      </w:rPr>
      <w:drawing>
        <wp:inline distT="0" distB="0" distL="0" distR="0">
          <wp:extent cx="2159635" cy="1055370"/>
          <wp:effectExtent l="0" t="0" r="0" b="0"/>
          <wp:docPr id="1" name="Image 1" descr="NOUVEAU_LOGO_CIERA_1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VEAU_LOGO_CIERA_1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10553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CE2"/>
    <w:rsid w:val="00181626"/>
    <w:rsid w:val="00341E08"/>
    <w:rsid w:val="00495787"/>
    <w:rsid w:val="00573362"/>
    <w:rsid w:val="00905687"/>
    <w:rsid w:val="00B10F77"/>
    <w:rsid w:val="00D03CD9"/>
    <w:rsid w:val="00D05ACE"/>
    <w:rsid w:val="00DC5921"/>
    <w:rsid w:val="00DC5CE2"/>
    <w:rsid w:val="00E5292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F2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5CE2"/>
    <w:pPr>
      <w:tabs>
        <w:tab w:val="center" w:pos="4703"/>
        <w:tab w:val="right" w:pos="9406"/>
      </w:tabs>
      <w:spacing w:after="0"/>
    </w:pPr>
  </w:style>
  <w:style w:type="character" w:customStyle="1" w:styleId="En-tteCar">
    <w:name w:val="En-tête Car"/>
    <w:basedOn w:val="Policepardfaut"/>
    <w:link w:val="En-tte"/>
    <w:uiPriority w:val="99"/>
    <w:rsid w:val="00DC5CE2"/>
  </w:style>
  <w:style w:type="paragraph" w:styleId="Pieddepage">
    <w:name w:val="footer"/>
    <w:basedOn w:val="Normal"/>
    <w:link w:val="PieddepageCar"/>
    <w:uiPriority w:val="99"/>
    <w:semiHidden/>
    <w:unhideWhenUsed/>
    <w:rsid w:val="00DC5CE2"/>
    <w:pPr>
      <w:tabs>
        <w:tab w:val="center" w:pos="4703"/>
        <w:tab w:val="right" w:pos="9406"/>
      </w:tabs>
      <w:spacing w:after="0"/>
    </w:pPr>
  </w:style>
  <w:style w:type="character" w:customStyle="1" w:styleId="PieddepageCar">
    <w:name w:val="Pied de page Car"/>
    <w:basedOn w:val="Policepardfaut"/>
    <w:link w:val="Pieddepage"/>
    <w:uiPriority w:val="99"/>
    <w:semiHidden/>
    <w:rsid w:val="00DC5CE2"/>
  </w:style>
  <w:style w:type="paragraph" w:styleId="Textedebulles">
    <w:name w:val="Balloon Text"/>
    <w:basedOn w:val="Normal"/>
    <w:link w:val="TextedebullesCar"/>
    <w:uiPriority w:val="99"/>
    <w:semiHidden/>
    <w:unhideWhenUsed/>
    <w:rsid w:val="00D05ACE"/>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05ACE"/>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F2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5CE2"/>
    <w:pPr>
      <w:tabs>
        <w:tab w:val="center" w:pos="4703"/>
        <w:tab w:val="right" w:pos="9406"/>
      </w:tabs>
      <w:spacing w:after="0"/>
    </w:pPr>
  </w:style>
  <w:style w:type="character" w:customStyle="1" w:styleId="En-tteCar">
    <w:name w:val="En-tête Car"/>
    <w:basedOn w:val="Policepardfaut"/>
    <w:link w:val="En-tte"/>
    <w:uiPriority w:val="99"/>
    <w:rsid w:val="00DC5CE2"/>
  </w:style>
  <w:style w:type="paragraph" w:styleId="Pieddepage">
    <w:name w:val="footer"/>
    <w:basedOn w:val="Normal"/>
    <w:link w:val="PieddepageCar"/>
    <w:uiPriority w:val="99"/>
    <w:semiHidden/>
    <w:unhideWhenUsed/>
    <w:rsid w:val="00DC5CE2"/>
    <w:pPr>
      <w:tabs>
        <w:tab w:val="center" w:pos="4703"/>
        <w:tab w:val="right" w:pos="9406"/>
      </w:tabs>
      <w:spacing w:after="0"/>
    </w:pPr>
  </w:style>
  <w:style w:type="character" w:customStyle="1" w:styleId="PieddepageCar">
    <w:name w:val="Pied de page Car"/>
    <w:basedOn w:val="Policepardfaut"/>
    <w:link w:val="Pieddepage"/>
    <w:uiPriority w:val="99"/>
    <w:semiHidden/>
    <w:rsid w:val="00DC5CE2"/>
  </w:style>
  <w:style w:type="paragraph" w:styleId="Textedebulles">
    <w:name w:val="Balloon Text"/>
    <w:basedOn w:val="Normal"/>
    <w:link w:val="TextedebullesCar"/>
    <w:uiPriority w:val="99"/>
    <w:semiHidden/>
    <w:unhideWhenUsed/>
    <w:rsid w:val="00D05ACE"/>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05AC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4289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Centre National de la Recherche Scientifique</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Bigg</dc:creator>
  <cp:lastModifiedBy>user</cp:lastModifiedBy>
  <cp:revision>2</cp:revision>
  <dcterms:created xsi:type="dcterms:W3CDTF">2015-10-13T08:10:00Z</dcterms:created>
  <dcterms:modified xsi:type="dcterms:W3CDTF">2015-10-13T08:10:00Z</dcterms:modified>
</cp:coreProperties>
</file>